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07E25" w14:textId="77777777" w:rsidR="00DB76ED" w:rsidRDefault="00000000">
      <w:pPr>
        <w:widowControl w:val="0"/>
        <w:spacing w:after="0"/>
        <w:jc w:val="both"/>
        <w:outlineLvl w:val="2"/>
        <w:rPr>
          <w:rFonts w:ascii="Times New Roman" w:hAnsi="Times New Roman" w:cs="Times New Roman"/>
          <w:b/>
          <w:bCs/>
        </w:rPr>
      </w:pPr>
      <w:r>
        <w:rPr>
          <w:rFonts w:ascii="Times New Roman" w:hAnsi="Times New Roman" w:cs="Times New Roman"/>
          <w:b/>
          <w:bCs/>
          <w:noProof/>
        </w:rPr>
        <w:drawing>
          <wp:anchor distT="0" distB="0" distL="0" distR="0" simplePos="0" relativeHeight="251658240" behindDoc="0" locked="0" layoutInCell="0" allowOverlap="1" wp14:anchorId="761CE09F" wp14:editId="4CE21A57">
            <wp:simplePos x="0" y="0"/>
            <wp:positionH relativeFrom="margin">
              <wp:posOffset>0</wp:posOffset>
            </wp:positionH>
            <wp:positionV relativeFrom="paragraph">
              <wp:posOffset>-591185</wp:posOffset>
            </wp:positionV>
            <wp:extent cx="1857375" cy="581025"/>
            <wp:effectExtent l="0" t="0" r="0" b="0"/>
            <wp:wrapNone/>
            <wp:docPr id="1" name="Рисунок 2" descr="cid:image001.png@01D51F9F.BAFAF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1.png@01D51F9F.BAFAFE10"/>
                    <pic:cNvPicPr>
                      <a:picLocks noChangeAspect="1" noChangeArrowheads="1"/>
                    </pic:cNvPicPr>
                  </pic:nvPicPr>
                  <pic:blipFill>
                    <a:blip r:embed="rId6"/>
                    <a:stretch>
                      <a:fillRect/>
                    </a:stretch>
                  </pic:blipFill>
                  <pic:spPr bwMode="auto">
                    <a:xfrm>
                      <a:off x="0" y="0"/>
                      <a:ext cx="1857375" cy="581025"/>
                    </a:xfrm>
                    <a:prstGeom prst="rect">
                      <a:avLst/>
                    </a:prstGeom>
                    <a:noFill/>
                  </pic:spPr>
                </pic:pic>
              </a:graphicData>
            </a:graphic>
          </wp:anchor>
        </w:drawing>
      </w:r>
    </w:p>
    <w:p w14:paraId="31F42FC7" w14:textId="77777777" w:rsidR="00DB76ED" w:rsidRDefault="00DB76ED">
      <w:pPr>
        <w:spacing w:after="0"/>
        <w:jc w:val="center"/>
        <w:rPr>
          <w:rFonts w:ascii="Times New Roman" w:hAnsi="Times New Roman" w:cs="Times New Roman"/>
          <w:b/>
          <w:color w:val="0070C0"/>
          <w:sz w:val="26"/>
          <w:szCs w:val="26"/>
        </w:rPr>
      </w:pPr>
    </w:p>
    <w:p w14:paraId="7FD9B311" w14:textId="77777777" w:rsidR="00DB76ED" w:rsidRPr="00017F1F"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EXPLANATORY NOTE AND DRAFT DECISION </w:t>
      </w:r>
    </w:p>
    <w:p w14:paraId="5DB781D8" w14:textId="77777777" w:rsidR="00DB76ED" w:rsidRPr="00017F1F"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OF THE GENERAL SHAREHOLDERS MEETING </w:t>
      </w:r>
    </w:p>
    <w:p w14:paraId="63FD203F" w14:textId="65C53268" w:rsidR="00DB76ED" w:rsidRPr="00017F1F"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OF ROSSETI SOUTH</w:t>
      </w:r>
      <w:r w:rsidR="00017F1F" w:rsidRPr="00017F1F">
        <w:rPr>
          <w:rFonts w:ascii="Times New Roman" w:eastAsia="Times New Roman" w:hAnsi="Times New Roman" w:cs="Times New Roman"/>
          <w:b/>
          <w:color w:val="0070C0"/>
          <w:sz w:val="26"/>
          <w:szCs w:val="26"/>
          <w:lang w:val="en-US"/>
        </w:rPr>
        <w:t>,</w:t>
      </w:r>
      <w:r w:rsidR="00017F1F" w:rsidRPr="00017F1F">
        <w:rPr>
          <w:rFonts w:ascii="Times New Roman" w:eastAsia="Times New Roman" w:hAnsi="Times New Roman" w:cs="Times New Roman"/>
          <w:b/>
          <w:color w:val="0070C0"/>
          <w:sz w:val="26"/>
          <w:szCs w:val="26"/>
          <w:lang w:val="en"/>
        </w:rPr>
        <w:t xml:space="preserve"> </w:t>
      </w:r>
      <w:r w:rsidR="00017F1F">
        <w:rPr>
          <w:rFonts w:ascii="Times New Roman" w:eastAsia="Times New Roman" w:hAnsi="Times New Roman" w:cs="Times New Roman"/>
          <w:b/>
          <w:color w:val="0070C0"/>
          <w:sz w:val="26"/>
          <w:szCs w:val="26"/>
          <w:lang w:val="en"/>
        </w:rPr>
        <w:t>PJSC</w:t>
      </w:r>
    </w:p>
    <w:p w14:paraId="00CAF67E" w14:textId="77777777" w:rsidR="00DB76ED" w:rsidRPr="00017F1F" w:rsidRDefault="00DB76ED">
      <w:pPr>
        <w:spacing w:after="0"/>
        <w:jc w:val="both"/>
        <w:rPr>
          <w:rFonts w:ascii="Times New Roman" w:hAnsi="Times New Roman" w:cs="Times New Roman"/>
          <w:b/>
          <w:sz w:val="26"/>
          <w:szCs w:val="26"/>
          <w:lang w:val="en-US"/>
        </w:rPr>
      </w:pPr>
    </w:p>
    <w:p w14:paraId="055EFEF1" w14:textId="242B4E62" w:rsidR="00DB76ED" w:rsidRPr="00017F1F" w:rsidRDefault="00000000">
      <w:pPr>
        <w:spacing w:after="0" w:line="240" w:lineRule="auto"/>
        <w:ind w:firstLine="567"/>
        <w:jc w:val="both"/>
        <w:rPr>
          <w:rFonts w:ascii="Times New Roman" w:eastAsia="Times New Roman" w:hAnsi="Times New Roman" w:cs="Times New Roman"/>
          <w:b/>
          <w:color w:val="000000"/>
          <w:sz w:val="26"/>
          <w:szCs w:val="26"/>
          <w:lang w:val="en-US" w:eastAsia="ru-RU"/>
        </w:rPr>
      </w:pPr>
      <w:r>
        <w:rPr>
          <w:rFonts w:ascii="Times New Roman" w:eastAsia="Times New Roman" w:hAnsi="Times New Roman" w:cs="Times New Roman"/>
          <w:b/>
          <w:color w:val="000000"/>
          <w:sz w:val="26"/>
          <w:szCs w:val="26"/>
          <w:u w:val="single"/>
          <w:lang w:val="en" w:eastAsia="ru-RU"/>
        </w:rPr>
        <w:t>ITEM 3:</w:t>
      </w:r>
      <w:r>
        <w:rPr>
          <w:rFonts w:ascii="Times New Roman" w:eastAsia="Times New Roman" w:hAnsi="Times New Roman" w:cs="Times New Roman"/>
          <w:b/>
          <w:color w:val="000000"/>
          <w:sz w:val="26"/>
          <w:szCs w:val="26"/>
          <w:lang w:val="en" w:eastAsia="ru-RU"/>
        </w:rPr>
        <w:t xml:space="preserve"> On amendments being made to the Charter of ROSSETI South</w:t>
      </w:r>
      <w:r w:rsidR="00017F1F" w:rsidRPr="00017F1F">
        <w:rPr>
          <w:rFonts w:ascii="Times New Roman" w:eastAsia="Times New Roman" w:hAnsi="Times New Roman" w:cs="Times New Roman"/>
          <w:b/>
          <w:color w:val="000000"/>
          <w:sz w:val="26"/>
          <w:szCs w:val="26"/>
          <w:lang w:val="en-US" w:eastAsia="ru-RU"/>
        </w:rPr>
        <w:t>,</w:t>
      </w:r>
      <w:r w:rsidR="00017F1F" w:rsidRPr="00017F1F">
        <w:rPr>
          <w:rFonts w:ascii="Times New Roman" w:eastAsia="Times New Roman" w:hAnsi="Times New Roman" w:cs="Times New Roman"/>
          <w:b/>
          <w:color w:val="000000"/>
          <w:sz w:val="26"/>
          <w:szCs w:val="26"/>
          <w:lang w:val="en" w:eastAsia="ru-RU"/>
        </w:rPr>
        <w:t xml:space="preserve"> </w:t>
      </w:r>
      <w:r w:rsidR="00017F1F">
        <w:rPr>
          <w:rFonts w:ascii="Times New Roman" w:eastAsia="Times New Roman" w:hAnsi="Times New Roman" w:cs="Times New Roman"/>
          <w:b/>
          <w:color w:val="000000"/>
          <w:sz w:val="26"/>
          <w:szCs w:val="26"/>
          <w:lang w:val="en" w:eastAsia="ru-RU"/>
        </w:rPr>
        <w:t>PJSC</w:t>
      </w:r>
      <w:r>
        <w:rPr>
          <w:rFonts w:ascii="Times New Roman" w:eastAsia="Times New Roman" w:hAnsi="Times New Roman" w:cs="Times New Roman"/>
          <w:b/>
          <w:color w:val="000000"/>
          <w:sz w:val="26"/>
          <w:szCs w:val="26"/>
          <w:lang w:val="en" w:eastAsia="ru-RU"/>
        </w:rPr>
        <w:t xml:space="preserve">. </w:t>
      </w:r>
    </w:p>
    <w:p w14:paraId="28671BC0" w14:textId="4722A915"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48 of the Federal Law dated 26.12.1995 No. 208-FZ "On Joint-Stock Companies" (hereinafter </w:t>
      </w:r>
      <w:r w:rsidR="00BD23D4" w:rsidRPr="00BD23D4">
        <w:rPr>
          <w:rFonts w:ascii="Times New Roman" w:hAnsi="Times New Roman" w:cs="Times New Roman"/>
          <w:sz w:val="26"/>
          <w:szCs w:val="26"/>
          <w:lang w:val="en-US"/>
        </w:rPr>
        <w:t>"</w:t>
      </w:r>
      <w:r>
        <w:rPr>
          <w:rFonts w:ascii="Times New Roman" w:hAnsi="Times New Roman" w:cs="Times New Roman"/>
          <w:sz w:val="26"/>
          <w:szCs w:val="26"/>
          <w:lang w:val="en"/>
        </w:rPr>
        <w:t>JSC Law</w:t>
      </w:r>
      <w:r w:rsidR="00BD23D4" w:rsidRPr="00BD23D4">
        <w:rPr>
          <w:rFonts w:ascii="Times New Roman" w:hAnsi="Times New Roman" w:cs="Times New Roman"/>
          <w:sz w:val="26"/>
          <w:szCs w:val="26"/>
          <w:lang w:val="en-US"/>
        </w:rPr>
        <w:t>"</w:t>
      </w:r>
      <w:r>
        <w:rPr>
          <w:rFonts w:ascii="Times New Roman" w:hAnsi="Times New Roman" w:cs="Times New Roman"/>
          <w:sz w:val="26"/>
          <w:szCs w:val="26"/>
          <w:lang w:val="en"/>
        </w:rPr>
        <w:t xml:space="preserve">) and sub-clause 2 of clause 10.2 of the article 10 of the Charter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(hereinafter </w:t>
      </w:r>
      <w:r w:rsidR="00BD23D4" w:rsidRPr="00BD23D4">
        <w:rPr>
          <w:rFonts w:ascii="Times New Roman" w:hAnsi="Times New Roman" w:cs="Times New Roman"/>
          <w:sz w:val="26"/>
          <w:szCs w:val="26"/>
          <w:lang w:val="en-US"/>
        </w:rPr>
        <w:t>"</w:t>
      </w:r>
      <w:r>
        <w:rPr>
          <w:rFonts w:ascii="Times New Roman" w:hAnsi="Times New Roman" w:cs="Times New Roman"/>
          <w:sz w:val="26"/>
          <w:szCs w:val="26"/>
          <w:lang w:val="en"/>
        </w:rPr>
        <w:t>the Company</w:t>
      </w:r>
      <w:r w:rsidR="00BD23D4" w:rsidRPr="00BD23D4">
        <w:rPr>
          <w:rFonts w:ascii="Times New Roman" w:hAnsi="Times New Roman" w:cs="Times New Roman"/>
          <w:sz w:val="26"/>
          <w:szCs w:val="26"/>
          <w:lang w:val="en-US"/>
        </w:rPr>
        <w:t>"</w:t>
      </w:r>
      <w:r>
        <w:rPr>
          <w:rFonts w:ascii="Times New Roman" w:hAnsi="Times New Roman" w:cs="Times New Roman"/>
          <w:sz w:val="26"/>
          <w:szCs w:val="26"/>
          <w:lang w:val="en"/>
        </w:rPr>
        <w:t xml:space="preserve">) the matter of the Company reorganization pertains to the competence of the General shareholders meeting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w:t>
      </w:r>
    </w:p>
    <w:p w14:paraId="16A05C91" w14:textId="084B61E6"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chapter 42, clause 42.1 of Regulation of the Bank of Russia dated 19.12.2019 No. 706-P "On standards of the issue of securities" (hereinafter </w:t>
      </w:r>
      <w:r w:rsidR="00BD23D4" w:rsidRPr="00BD23D4">
        <w:rPr>
          <w:rFonts w:ascii="Times New Roman" w:hAnsi="Times New Roman" w:cs="Times New Roman"/>
          <w:sz w:val="26"/>
          <w:szCs w:val="26"/>
          <w:lang w:val="en-US"/>
        </w:rPr>
        <w:t>"</w:t>
      </w:r>
      <w:r>
        <w:rPr>
          <w:rFonts w:ascii="Times New Roman" w:hAnsi="Times New Roman" w:cs="Times New Roman"/>
          <w:sz w:val="26"/>
          <w:szCs w:val="26"/>
          <w:lang w:val="en"/>
        </w:rPr>
        <w:t>Issue Standards</w:t>
      </w:r>
      <w:r w:rsidR="00BD23D4" w:rsidRPr="00BD23D4">
        <w:rPr>
          <w:rFonts w:ascii="Times New Roman" w:hAnsi="Times New Roman" w:cs="Times New Roman"/>
          <w:sz w:val="26"/>
          <w:szCs w:val="26"/>
          <w:lang w:val="en-US"/>
        </w:rPr>
        <w:t>"</w:t>
      </w:r>
      <w:r>
        <w:rPr>
          <w:rFonts w:ascii="Times New Roman" w:hAnsi="Times New Roman" w:cs="Times New Roman"/>
          <w:sz w:val="26"/>
          <w:szCs w:val="26"/>
          <w:lang w:val="en"/>
        </w:rPr>
        <w:t xml:space="preserve">), in case of reorganization through merger, the additional shares of the absorbing joint-stock company shall be placed upon the decision on reorganization through merger and the decision on the increase of authorized capital of the absorbing Company by the placement of additional shares. </w:t>
      </w:r>
    </w:p>
    <w:p w14:paraId="210BE9A0" w14:textId="77777777"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28 of the JSC Law, the decision on the increase of authorized capital of the company by the placement of additional shares is adopted by the General shareholders meeting or by the board of directors of the Company if, according to the Company Charter, it is entitled to adopt this decision. </w:t>
      </w:r>
    </w:p>
    <w:p w14:paraId="610E7122" w14:textId="2AE78A0E"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10, clause 10.2, sub-clause 5 of the Charter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the decision on the increase of authorized capital of the company by the placement by the Company of additional shares pertains to the competence of the General shareholders meeting of the Company.</w:t>
      </w:r>
    </w:p>
    <w:p w14:paraId="02170AEC" w14:textId="204B3368"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Whereas the quantity of ordinary authorized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set out by clause 4.5 of the Charter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is insufficient for the placement of the quantity of additional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required for the conversion of the absorbed company shares, the decision on the increase of authorized capital by the placement by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of additional shares may be adopted by the General meeting of shareholders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Under the article 28, clause 3 of the JSC Law, the decision on the increase of authorized capital of the company by the placement of additional shares may be adopted by the General meeting of shareholders simultaneously with the decision on the inclusion into the Company Charter of provisions on authorized shares or on the change of provisions on authorized shares. </w:t>
      </w:r>
    </w:p>
    <w:p w14:paraId="490AA832" w14:textId="4A7801A4"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In connection with the above, the reorganization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by merger ROSSETI Kuban</w:t>
      </w:r>
      <w:r w:rsidR="00017F1F" w:rsidRPr="00476FCB">
        <w:rPr>
          <w:rFonts w:ascii="Times New Roman" w:hAnsi="Times New Roman" w:cs="Times New Roman"/>
          <w:sz w:val="26"/>
          <w:szCs w:val="26"/>
          <w:lang w:val="en-US"/>
        </w:rPr>
        <w:t>,</w:t>
      </w:r>
      <w:r>
        <w:rPr>
          <w:rFonts w:ascii="Times New Roman" w:hAnsi="Times New Roman" w:cs="Times New Roman"/>
          <w:sz w:val="26"/>
          <w:szCs w:val="26"/>
          <w:lang w:val="en"/>
        </w:rPr>
        <w:t xml:space="preserve"> </w:t>
      </w:r>
      <w:r w:rsidR="00017F1F">
        <w:rPr>
          <w:rFonts w:ascii="Times New Roman" w:hAnsi="Times New Roman" w:cs="Times New Roman"/>
          <w:sz w:val="26"/>
          <w:szCs w:val="26"/>
          <w:lang w:val="en"/>
        </w:rPr>
        <w:t xml:space="preserve">JSC </w:t>
      </w:r>
      <w:r>
        <w:rPr>
          <w:rFonts w:ascii="Times New Roman" w:hAnsi="Times New Roman" w:cs="Times New Roman"/>
          <w:sz w:val="26"/>
          <w:szCs w:val="26"/>
          <w:lang w:val="en"/>
        </w:rPr>
        <w:t xml:space="preserve">into it requires making a decision by the General shareholders meeting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on amendments being made to the Charter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as to the change of provisions on authorized shares.  </w:t>
      </w:r>
    </w:p>
    <w:p w14:paraId="38E3634E" w14:textId="07595C22"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chapter 47, clause 47.5 of Issue Standards, the decision on the increase of authorized capital by the placement of additional shares of the absorbing joint-stock company shall specify the quantity of placed additional shares within the limit of authorized shares of this category, the method of additional shares placement </w:t>
      </w:r>
      <w:r w:rsidR="00BD23D4">
        <w:rPr>
          <w:rFonts w:ascii="Times New Roman" w:hAnsi="Times New Roman" w:cs="Times New Roman"/>
          <w:sz w:val="26"/>
          <w:szCs w:val="26"/>
          <w:lang w:val="en"/>
        </w:rPr>
        <w:t xml:space="preserve">is </w:t>
      </w:r>
      <w:r>
        <w:rPr>
          <w:rFonts w:ascii="Times New Roman" w:hAnsi="Times New Roman" w:cs="Times New Roman"/>
          <w:sz w:val="26"/>
          <w:szCs w:val="26"/>
          <w:lang w:val="en"/>
        </w:rPr>
        <w:t xml:space="preserve">conversion, conversion coefficient. </w:t>
      </w:r>
    </w:p>
    <w:p w14:paraId="0665695A" w14:textId="7105A81E"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lastRenderedPageBreak/>
        <w:t xml:space="preserve">In terms of the total quantity of placed shares of the absorbed company and the approved conversion coefficient, the quantity of additional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required for the conversion of shares of the absorbed company shall be determined. </w:t>
      </w:r>
    </w:p>
    <w:p w14:paraId="7B875624" w14:textId="08973E4F" w:rsidR="00DB76ED" w:rsidRPr="00017F1F" w:rsidRDefault="00000000">
      <w:pPr>
        <w:spacing w:after="0" w:line="240" w:lineRule="auto"/>
        <w:ind w:firstLine="567"/>
        <w:jc w:val="both"/>
        <w:rPr>
          <w:lang w:val="en-US"/>
        </w:rPr>
      </w:pPr>
      <w:r>
        <w:rPr>
          <w:rFonts w:ascii="Times New Roman" w:hAnsi="Times New Roman" w:cs="Times New Roman"/>
          <w:sz w:val="26"/>
          <w:szCs w:val="26"/>
          <w:lang w:val="en"/>
        </w:rPr>
        <w:t xml:space="preserve">The quantity of ordinary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due to a shareholder of the absorbed company is calculated by dividing the quantity of his shares in the absorbed company by the conversion coefficient set out by the decision on the increase of authorized capital by the placement of additional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and by the agreement of accession.</w:t>
      </w:r>
    </w:p>
    <w:p w14:paraId="1200A8FA" w14:textId="6FED08C1"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shares of the absorbed company are converted to ordinary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subject to the article 17 of the JSC Law. In particular, the absorbed company shares are converted into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in accordance with the conversion coefficient. </w:t>
      </w:r>
    </w:p>
    <w:p w14:paraId="3E5F4913" w14:textId="42EE3A2B" w:rsidR="00DB76ED" w:rsidRPr="00017F1F"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share conversion coefficient is determined by the decision of the General shareholders meeting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on the increase of authorized capital by the placement of additional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and by the agreement of accession approved by the General meeting of shareholders participating in reorganization. </w:t>
      </w:r>
    </w:p>
    <w:p w14:paraId="688337F7" w14:textId="037EF9C4" w:rsidR="00DB76ED" w:rsidRPr="00017F1F" w:rsidRDefault="00000000">
      <w:pPr>
        <w:spacing w:after="0" w:line="240" w:lineRule="auto"/>
        <w:ind w:firstLine="624"/>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estimated quantity of additional ordinary shares of </w:t>
      </w:r>
      <w:r w:rsidR="00017F1F">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for conversion is </w:t>
      </w:r>
      <w:r>
        <w:rPr>
          <w:rFonts w:ascii="Times New Roman" w:eastAsia="Calibri" w:hAnsi="Times New Roman" w:cs="Times New Roman"/>
          <w:color w:val="000000"/>
          <w:sz w:val="26"/>
          <w:szCs w:val="26"/>
          <w:lang w:val="en"/>
        </w:rPr>
        <w:t>540,638,202,822</w:t>
      </w:r>
      <w:r>
        <w:rPr>
          <w:rFonts w:ascii="Times New Roman" w:hAnsi="Times New Roman" w:cs="Times New Roman"/>
          <w:sz w:val="26"/>
          <w:szCs w:val="26"/>
          <w:lang w:val="en"/>
        </w:rPr>
        <w:t xml:space="preserve"> shares. </w:t>
      </w:r>
    </w:p>
    <w:p w14:paraId="0D06E550" w14:textId="77777777" w:rsidR="00DB76ED" w:rsidRPr="00017F1F"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Times New Roman" w:hAnsi="Times New Roman" w:cs="Times New Roman"/>
          <w:bCs/>
          <w:sz w:val="26"/>
          <w:szCs w:val="26"/>
          <w:lang w:val="en"/>
        </w:rPr>
        <w:t>In accordance with the Company Charter, the article 10, clause 10.5, the decision on this matter is adopted by a three-quarter majority vote of voting shareholders of the Company participating in absentee voting.</w:t>
      </w:r>
    </w:p>
    <w:p w14:paraId="5C97D4B9" w14:textId="7AF577A4" w:rsidR="00DB76ED" w:rsidRPr="00017F1F" w:rsidRDefault="00000000">
      <w:pPr>
        <w:spacing w:after="0" w:line="240" w:lineRule="auto"/>
        <w:ind w:firstLine="567"/>
        <w:jc w:val="both"/>
        <w:rPr>
          <w:lang w:val="en-US"/>
        </w:rPr>
      </w:pPr>
      <w:r>
        <w:rPr>
          <w:rFonts w:ascii="Times New Roman" w:eastAsia="Times New Roman" w:hAnsi="Times New Roman" w:cs="Times New Roman"/>
          <w:sz w:val="26"/>
          <w:szCs w:val="26"/>
          <w:lang w:val="en"/>
        </w:rPr>
        <w:t xml:space="preserve">Given these considerations, the General shareholders meeting of </w:t>
      </w:r>
      <w:r w:rsidR="00017F1F">
        <w:rPr>
          <w:rFonts w:ascii="Times New Roman" w:eastAsia="Times New Roman" w:hAnsi="Times New Roman" w:cs="Times New Roman"/>
          <w:sz w:val="26"/>
          <w:szCs w:val="26"/>
          <w:lang w:val="en"/>
        </w:rPr>
        <w:t>ROSSETI South, PJSC</w:t>
      </w:r>
      <w:r>
        <w:rPr>
          <w:rFonts w:ascii="Times New Roman" w:eastAsia="Times New Roman" w:hAnsi="Times New Roman" w:cs="Times New Roman"/>
          <w:sz w:val="26"/>
          <w:szCs w:val="26"/>
          <w:lang w:val="en"/>
        </w:rPr>
        <w:t xml:space="preserve"> is proposed to make decision on this item.</w:t>
      </w:r>
    </w:p>
    <w:p w14:paraId="47C8B2EB" w14:textId="77777777" w:rsidR="00DB76ED" w:rsidRPr="00017F1F" w:rsidRDefault="00000000">
      <w:pPr>
        <w:spacing w:after="0" w:line="240" w:lineRule="auto"/>
        <w:ind w:firstLine="567"/>
        <w:contextualSpacing/>
        <w:jc w:val="both"/>
        <w:rPr>
          <w:u w:val="single"/>
          <w:lang w:val="en-US"/>
        </w:rPr>
      </w:pPr>
      <w:r>
        <w:rPr>
          <w:rFonts w:ascii="Times New Roman" w:hAnsi="Times New Roman" w:cs="Times New Roman"/>
          <w:b/>
          <w:sz w:val="26"/>
          <w:szCs w:val="26"/>
          <w:u w:val="single"/>
          <w:lang w:val="en"/>
        </w:rPr>
        <w:t>DRAFT DECISION</w:t>
      </w:r>
      <w:r>
        <w:rPr>
          <w:rFonts w:ascii="Times New Roman" w:hAnsi="Times New Roman" w:cs="Times New Roman"/>
          <w:sz w:val="26"/>
          <w:szCs w:val="26"/>
          <w:u w:val="single"/>
          <w:lang w:val="en"/>
        </w:rPr>
        <w:t>:</w:t>
      </w:r>
    </w:p>
    <w:p w14:paraId="7984C8EB" w14:textId="1A0E50AA" w:rsidR="00DB76ED" w:rsidRPr="00017F1F" w:rsidRDefault="00000000">
      <w:pPr>
        <w:widowControl w:val="0"/>
        <w:spacing w:line="240" w:lineRule="auto"/>
        <w:ind w:firstLine="567"/>
        <w:contextualSpacing/>
        <w:jc w:val="both"/>
        <w:rPr>
          <w:sz w:val="26"/>
          <w:szCs w:val="26"/>
          <w:lang w:val="en-US"/>
        </w:rPr>
      </w:pPr>
      <w:r>
        <w:rPr>
          <w:rFonts w:ascii="Times New Roman" w:eastAsia="Calibri" w:hAnsi="Times New Roman" w:cs="Times New Roman"/>
          <w:color w:val="000000"/>
          <w:sz w:val="26"/>
          <w:szCs w:val="26"/>
          <w:lang w:val="en"/>
        </w:rPr>
        <w:t xml:space="preserve">Introduce amendments into the Charter of </w:t>
      </w:r>
      <w:r w:rsidR="00017F1F">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according to Appendix 2 posted as part of materials of the General shareholders meeting of </w:t>
      </w:r>
      <w:r w:rsidR="00017F1F">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on the website of </w:t>
      </w:r>
      <w:r w:rsidR="00017F1F">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w:t>
      </w:r>
    </w:p>
    <w:sectPr w:rsidR="00DB76ED" w:rsidRPr="00017F1F">
      <w:headerReference w:type="even" r:id="rId7"/>
      <w:headerReference w:type="default" r:id="rId8"/>
      <w:headerReference w:type="first" r:id="rId9"/>
      <w:pgSz w:w="11906" w:h="16838"/>
      <w:pgMar w:top="1418" w:right="850" w:bottom="1134" w:left="1701" w:header="709"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96B73" w14:textId="77777777" w:rsidR="00B97D85" w:rsidRDefault="00B97D85">
      <w:pPr>
        <w:spacing w:after="0" w:line="240" w:lineRule="auto"/>
      </w:pPr>
      <w:r>
        <w:separator/>
      </w:r>
    </w:p>
  </w:endnote>
  <w:endnote w:type="continuationSeparator" w:id="0">
    <w:p w14:paraId="106871EE" w14:textId="77777777" w:rsidR="00B97D85" w:rsidRDefault="00B97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169D9" w14:textId="77777777" w:rsidR="00B97D85" w:rsidRDefault="00B97D85">
      <w:pPr>
        <w:spacing w:after="0" w:line="240" w:lineRule="auto"/>
      </w:pPr>
      <w:r>
        <w:separator/>
      </w:r>
    </w:p>
  </w:footnote>
  <w:footnote w:type="continuationSeparator" w:id="0">
    <w:p w14:paraId="52B75993" w14:textId="77777777" w:rsidR="00B97D85" w:rsidRDefault="00B97D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7FD" w14:textId="77777777" w:rsidR="00DB76ED" w:rsidRDefault="00DB76ED">
    <w:pPr>
      <w:pStyle w:val="ae"/>
      <w:ind w:left="2977"/>
      <w:jc w:val="center"/>
      <w:rPr>
        <w:i/>
      </w:rPr>
    </w:pPr>
  </w:p>
  <w:p w14:paraId="391F8D5E" w14:textId="77777777" w:rsidR="00DB76ED" w:rsidRDefault="00DB76ED">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BFAFD" w14:textId="77777777" w:rsidR="00DB76ED" w:rsidRDefault="00DB76ED">
    <w:pPr>
      <w:pStyle w:val="ae"/>
      <w:ind w:left="2977"/>
      <w:jc w:val="center"/>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FBD8" w14:textId="5FAE57AD" w:rsidR="00DB76ED" w:rsidRPr="00017F1F" w:rsidRDefault="00000000">
    <w:pPr>
      <w:pStyle w:val="ae"/>
      <w:ind w:left="2977"/>
      <w:jc w:val="center"/>
      <w:rPr>
        <w:i/>
        <w:lang w:val="en-US"/>
      </w:rPr>
    </w:pPr>
    <w:r>
      <w:rPr>
        <w:i/>
        <w:lang w:val="en"/>
      </w:rPr>
      <w:t xml:space="preserve">Public Joint-Stock Company </w:t>
    </w:r>
    <w:r w:rsidR="00017F1F" w:rsidRPr="00017F1F">
      <w:rPr>
        <w:i/>
        <w:lang w:val="en-US"/>
      </w:rPr>
      <w:t>"</w:t>
    </w:r>
    <w:r>
      <w:rPr>
        <w:i/>
        <w:lang w:val="en"/>
      </w:rPr>
      <w:t>ROSSETI South</w:t>
    </w:r>
    <w:r w:rsidR="00017F1F" w:rsidRPr="00017F1F">
      <w:rPr>
        <w:i/>
        <w:lang w:val="en-US"/>
      </w:rPr>
      <w:t>"</w:t>
    </w:r>
  </w:p>
  <w:p w14:paraId="020A4A78" w14:textId="77777777" w:rsidR="00DB76ED" w:rsidRPr="00017F1F" w:rsidRDefault="00DB76ED">
    <w:pPr>
      <w:pStyle w:val="a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6ED"/>
    <w:rsid w:val="00017F1F"/>
    <w:rsid w:val="00476FCB"/>
    <w:rsid w:val="004B3150"/>
    <w:rsid w:val="006B76F8"/>
    <w:rsid w:val="009138CC"/>
    <w:rsid w:val="00B97D85"/>
    <w:rsid w:val="00BD23D4"/>
    <w:rsid w:val="00DB7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30AD"/>
  <w15:docId w15:val="{EB025BCF-3AF7-4675-8F2B-C9B9C10A6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uiPriority w:val="9"/>
    <w:qFormat/>
    <w:pPr>
      <w:keepNext/>
      <w:keepLines/>
      <w:spacing w:before="480"/>
      <w:outlineLvl w:val="0"/>
    </w:pPr>
    <w:rPr>
      <w:rFonts w:ascii="Arial" w:eastAsia="Arial" w:hAnsi="Arial" w:cs="Arial"/>
      <w:sz w:val="40"/>
      <w:szCs w:val="40"/>
    </w:rPr>
  </w:style>
  <w:style w:type="paragraph" w:styleId="2">
    <w:name w:val="heading 2"/>
    <w:basedOn w:val="a"/>
    <w:uiPriority w:val="9"/>
    <w:unhideWhenUsed/>
    <w:qFormat/>
    <w:pPr>
      <w:keepNext/>
      <w:keepLines/>
      <w:spacing w:before="360"/>
      <w:outlineLvl w:val="1"/>
    </w:pPr>
    <w:rPr>
      <w:rFonts w:ascii="Arial" w:eastAsia="Arial" w:hAnsi="Arial" w:cs="Arial"/>
      <w:sz w:val="34"/>
    </w:rPr>
  </w:style>
  <w:style w:type="paragraph" w:styleId="3">
    <w:name w:val="heading 3"/>
    <w:basedOn w:val="a"/>
    <w:uiPriority w:val="9"/>
    <w:unhideWhenUsed/>
    <w:qFormat/>
    <w:pPr>
      <w:keepNext/>
      <w:keepLines/>
      <w:spacing w:before="320"/>
      <w:outlineLvl w:val="2"/>
    </w:pPr>
    <w:rPr>
      <w:rFonts w:ascii="Arial" w:eastAsia="Arial" w:hAnsi="Arial" w:cs="Arial"/>
      <w:sz w:val="30"/>
      <w:szCs w:val="30"/>
    </w:rPr>
  </w:style>
  <w:style w:type="paragraph" w:styleId="4">
    <w:name w:val="heading 4"/>
    <w:basedOn w:val="a"/>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outlineLvl w:val="5"/>
    </w:pPr>
    <w:rPr>
      <w:rFonts w:ascii="Arial" w:eastAsia="Arial" w:hAnsi="Arial" w:cs="Arial"/>
      <w:b/>
      <w:bCs/>
    </w:rPr>
  </w:style>
  <w:style w:type="paragraph" w:styleId="7">
    <w:name w:val="heading 7"/>
    <w:basedOn w:val="a"/>
    <w:uiPriority w:val="9"/>
    <w:unhideWhenUsed/>
    <w:qFormat/>
    <w:pPr>
      <w:keepNext/>
      <w:keepLines/>
      <w:spacing w:before="320"/>
      <w:outlineLvl w:val="6"/>
    </w:pPr>
    <w:rPr>
      <w:rFonts w:ascii="Arial" w:eastAsia="Arial" w:hAnsi="Arial" w:cs="Arial"/>
      <w:b/>
      <w:bCs/>
      <w:i/>
      <w:iCs/>
    </w:rPr>
  </w:style>
  <w:style w:type="paragraph" w:styleId="8">
    <w:name w:val="heading 8"/>
    <w:basedOn w:val="a"/>
    <w:uiPriority w:val="9"/>
    <w:unhideWhenUsed/>
    <w:qFormat/>
    <w:pPr>
      <w:keepNext/>
      <w:keepLines/>
      <w:spacing w:before="320"/>
      <w:outlineLvl w:val="7"/>
    </w:pPr>
    <w:rPr>
      <w:rFonts w:ascii="Arial" w:eastAsia="Arial" w:hAnsi="Arial" w:cs="Arial"/>
      <w:i/>
      <w:iCs/>
    </w:rPr>
  </w:style>
  <w:style w:type="paragraph" w:styleId="9">
    <w:name w:val="heading 9"/>
    <w:basedOn w:val="a"/>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Heading5Char">
    <w:name w:val="Heading 5 Char"/>
    <w:uiPriority w:val="9"/>
    <w:qFormat/>
    <w:rPr>
      <w:rFonts w:ascii="Arial" w:eastAsia="Arial" w:hAnsi="Arial" w:cs="Arial"/>
      <w:b/>
      <w:bCs/>
      <w:sz w:val="24"/>
      <w:szCs w:val="24"/>
    </w:rPr>
  </w:style>
  <w:style w:type="character" w:customStyle="1" w:styleId="Heading6Char">
    <w:name w:val="Heading 6 Char"/>
    <w:uiPriority w:val="9"/>
    <w:qFormat/>
    <w:rPr>
      <w:rFonts w:ascii="Arial" w:eastAsia="Arial" w:hAnsi="Arial" w:cs="Arial"/>
      <w:b/>
      <w:bCs/>
      <w:sz w:val="22"/>
      <w:szCs w:val="22"/>
    </w:rPr>
  </w:style>
  <w:style w:type="character" w:customStyle="1" w:styleId="Heading7Char">
    <w:name w:val="Heading 7 Char"/>
    <w:uiPriority w:val="9"/>
    <w:qFormat/>
    <w:rPr>
      <w:rFonts w:ascii="Arial" w:eastAsia="Arial" w:hAnsi="Arial" w:cs="Arial"/>
      <w:b/>
      <w:bCs/>
      <w:i/>
      <w:iCs/>
      <w:sz w:val="22"/>
      <w:szCs w:val="22"/>
    </w:rPr>
  </w:style>
  <w:style w:type="character" w:customStyle="1" w:styleId="Heading8Char">
    <w:name w:val="Heading 8 Char"/>
    <w:uiPriority w:val="9"/>
    <w:qFormat/>
    <w:rPr>
      <w:rFonts w:ascii="Arial" w:eastAsia="Arial" w:hAnsi="Arial" w:cs="Arial"/>
      <w:i/>
      <w:iCs/>
      <w:sz w:val="22"/>
      <w:szCs w:val="22"/>
    </w:rPr>
  </w:style>
  <w:style w:type="character" w:customStyle="1" w:styleId="Heading9Char">
    <w:name w:val="Heading 9 Char"/>
    <w:uiPriority w:val="9"/>
    <w:qFormat/>
    <w:rPr>
      <w:rFonts w:ascii="Arial" w:eastAsia="Arial" w:hAnsi="Arial" w:cs="Arial"/>
      <w:i/>
      <w:iCs/>
      <w:sz w:val="21"/>
      <w:szCs w:val="21"/>
    </w:rPr>
  </w:style>
  <w:style w:type="character" w:customStyle="1" w:styleId="TitleChar">
    <w:name w:val="Title Char"/>
    <w:uiPriority w:val="10"/>
    <w:qFormat/>
    <w:rPr>
      <w:sz w:val="48"/>
      <w:szCs w:val="48"/>
    </w:rPr>
  </w:style>
  <w:style w:type="character" w:customStyle="1" w:styleId="SubtitleChar">
    <w:name w:val="Subtitle Char"/>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character" w:styleId="a3">
    <w:name w:val="Hyperlink"/>
    <w:uiPriority w:val="99"/>
    <w:unhideWhenUsed/>
    <w:rPr>
      <w:color w:val="0563C1" w:themeColor="hyperlink"/>
      <w:u w:val="single"/>
    </w:rPr>
  </w:style>
  <w:style w:type="character" w:customStyle="1" w:styleId="FootnoteTextChar">
    <w:name w:val="Footnote Text Char"/>
    <w:uiPriority w:val="99"/>
    <w:qFormat/>
    <w:rPr>
      <w:sz w:val="18"/>
    </w:rPr>
  </w:style>
  <w:style w:type="character" w:customStyle="1" w:styleId="a4">
    <w:name w:val="Символ сноски"/>
    <w:uiPriority w:val="99"/>
    <w:unhideWhenUsed/>
    <w:qFormat/>
    <w:rPr>
      <w:vertAlign w:val="superscript"/>
    </w:rPr>
  </w:style>
  <w:style w:type="character" w:styleId="a5">
    <w:name w:val="footnote reference"/>
    <w:rPr>
      <w:vertAlign w:val="superscript"/>
    </w:rPr>
  </w:style>
  <w:style w:type="character" w:customStyle="1" w:styleId="EndnoteTextChar">
    <w:name w:val="Endnote Text Char"/>
    <w:uiPriority w:val="99"/>
    <w:qFormat/>
    <w:rPr>
      <w:sz w:val="20"/>
    </w:rPr>
  </w:style>
  <w:style w:type="character" w:customStyle="1" w:styleId="a6">
    <w:name w:val="Символ концевой сноски"/>
    <w:uiPriority w:val="99"/>
    <w:semiHidden/>
    <w:unhideWhenUsed/>
    <w:qFormat/>
    <w:rPr>
      <w:vertAlign w:val="superscript"/>
    </w:rPr>
  </w:style>
  <w:style w:type="character" w:styleId="a7">
    <w:name w:val="endnote reference"/>
    <w:rPr>
      <w:vertAlign w:val="superscript"/>
    </w:rPr>
  </w:style>
  <w:style w:type="paragraph" w:customStyle="1" w:styleId="10">
    <w:name w:val="Заголовок1"/>
    <w:basedOn w:val="a"/>
    <w:next w:val="a8"/>
    <w:qFormat/>
    <w:pPr>
      <w:keepNext/>
      <w:spacing w:before="240" w:after="120"/>
    </w:pPr>
    <w:rPr>
      <w:rFonts w:ascii="Liberation Sans" w:eastAsia="Tahoma" w:hAnsi="Liberation Sans" w:cs="Noto Sans"/>
      <w:sz w:val="28"/>
      <w:szCs w:val="28"/>
    </w:rPr>
  </w:style>
  <w:style w:type="paragraph" w:styleId="a8">
    <w:name w:val="Body Text"/>
    <w:basedOn w:val="a"/>
    <w:pPr>
      <w:spacing w:after="140"/>
    </w:pPr>
  </w:style>
  <w:style w:type="paragraph" w:styleId="a9">
    <w:name w:val="List"/>
    <w:basedOn w:val="a8"/>
    <w:rPr>
      <w:rFonts w:cs="Noto Sans"/>
    </w:rPr>
  </w:style>
  <w:style w:type="paragraph" w:styleId="aa">
    <w:name w:val="caption"/>
    <w:basedOn w:val="a"/>
    <w:uiPriority w:val="35"/>
    <w:semiHidden/>
    <w:unhideWhenUsed/>
    <w:qFormat/>
    <w:rPr>
      <w:b/>
      <w:bCs/>
      <w:color w:val="5B9BD5" w:themeColor="accent1"/>
      <w:sz w:val="18"/>
      <w:szCs w:val="18"/>
    </w:rPr>
  </w:style>
  <w:style w:type="paragraph" w:customStyle="1" w:styleId="11">
    <w:name w:val="Указатель1"/>
    <w:basedOn w:val="a"/>
    <w:qFormat/>
    <w:pPr>
      <w:suppressLineNumbers/>
    </w:pPr>
    <w:rPr>
      <w:rFonts w:cs="Noto Sans"/>
    </w:rPr>
  </w:style>
  <w:style w:type="paragraph" w:customStyle="1" w:styleId="user">
    <w:name w:val="Заголовок (user)"/>
    <w:basedOn w:val="a"/>
    <w:next w:val="a8"/>
    <w:qFormat/>
    <w:pPr>
      <w:keepNext/>
      <w:spacing w:before="240" w:after="120"/>
    </w:pPr>
    <w:rPr>
      <w:rFonts w:ascii="Liberation Sans" w:eastAsia="Tahoma" w:hAnsi="Liberation Sans" w:cs="Noto Sans"/>
      <w:sz w:val="28"/>
      <w:szCs w:val="28"/>
    </w:rPr>
  </w:style>
  <w:style w:type="paragraph" w:customStyle="1" w:styleId="user0">
    <w:name w:val="Указатель (user)"/>
    <w:basedOn w:val="a"/>
    <w:qFormat/>
    <w:pPr>
      <w:suppressLineNumbers/>
    </w:pPr>
    <w:rPr>
      <w:rFonts w:cs="Noto Sans"/>
    </w:rPr>
  </w:style>
  <w:style w:type="paragraph" w:styleId="ab">
    <w:name w:val="Title"/>
    <w:basedOn w:val="a"/>
    <w:uiPriority w:val="10"/>
    <w:qFormat/>
    <w:pPr>
      <w:spacing w:before="300"/>
      <w:contextualSpacing/>
    </w:pPr>
    <w:rPr>
      <w:sz w:val="48"/>
      <w:szCs w:val="48"/>
    </w:rPr>
  </w:style>
  <w:style w:type="paragraph" w:styleId="ac">
    <w:name w:val="Subtitle"/>
    <w:basedOn w:val="a"/>
    <w:uiPriority w:val="11"/>
    <w:qFormat/>
    <w:pPr>
      <w:spacing w:before="200"/>
    </w:pPr>
    <w:rPr>
      <w:sz w:val="24"/>
      <w:szCs w:val="24"/>
    </w:rPr>
  </w:style>
  <w:style w:type="paragraph" w:styleId="20">
    <w:name w:val="Quote"/>
    <w:basedOn w:val="a"/>
    <w:uiPriority w:val="29"/>
    <w:qFormat/>
    <w:pPr>
      <w:ind w:left="720" w:right="720"/>
    </w:pPr>
    <w:rPr>
      <w:i/>
    </w:rPr>
  </w:style>
  <w:style w:type="paragraph" w:styleId="ad">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style>
  <w:style w:type="paragraph" w:styleId="ae">
    <w:name w:val="header"/>
    <w:basedOn w:val="a"/>
    <w:uiPriority w:val="99"/>
    <w:unhideWhenUsed/>
    <w:pPr>
      <w:tabs>
        <w:tab w:val="center" w:pos="7143"/>
        <w:tab w:val="right" w:pos="14287"/>
      </w:tabs>
      <w:spacing w:after="0" w:line="240" w:lineRule="auto"/>
    </w:pPr>
  </w:style>
  <w:style w:type="paragraph" w:styleId="af">
    <w:name w:val="footer"/>
    <w:basedOn w:val="a"/>
    <w:uiPriority w:val="99"/>
    <w:unhideWhenUsed/>
    <w:pPr>
      <w:tabs>
        <w:tab w:val="center" w:pos="7143"/>
        <w:tab w:val="right" w:pos="14287"/>
      </w:tabs>
      <w:spacing w:after="0" w:line="240" w:lineRule="auto"/>
    </w:pPr>
  </w:style>
  <w:style w:type="paragraph" w:styleId="af0">
    <w:name w:val="footnote text"/>
    <w:basedOn w:val="a"/>
    <w:uiPriority w:val="99"/>
    <w:semiHidden/>
    <w:unhideWhenUsed/>
    <w:pPr>
      <w:spacing w:after="40" w:line="240" w:lineRule="auto"/>
    </w:pPr>
    <w:rPr>
      <w:sz w:val="18"/>
    </w:rPr>
  </w:style>
  <w:style w:type="paragraph" w:styleId="af1">
    <w:name w:val="endnote text"/>
    <w:basedOn w:val="a"/>
    <w:uiPriority w:val="99"/>
    <w:semiHidden/>
    <w:unhideWhenUsed/>
    <w:pPr>
      <w:spacing w:after="0" w:line="240" w:lineRule="auto"/>
    </w:pPr>
    <w:rPr>
      <w:sz w:val="20"/>
    </w:rPr>
  </w:style>
  <w:style w:type="paragraph" w:styleId="12">
    <w:name w:val="toc 1"/>
    <w:basedOn w:val="a"/>
    <w:uiPriority w:val="39"/>
    <w:unhideWhenUsed/>
    <w:pPr>
      <w:spacing w:after="57"/>
    </w:pPr>
  </w:style>
  <w:style w:type="paragraph" w:styleId="21">
    <w:name w:val="toc 2"/>
    <w:basedOn w:val="a"/>
    <w:uiPriority w:val="39"/>
    <w:unhideWhenUsed/>
    <w:pPr>
      <w:spacing w:after="57"/>
      <w:ind w:left="283"/>
    </w:p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2">
    <w:name w:val="index heading"/>
    <w:basedOn w:val="10"/>
  </w:style>
  <w:style w:type="paragraph" w:styleId="af3">
    <w:name w:val="TOC Heading"/>
    <w:uiPriority w:val="39"/>
    <w:unhideWhenUsed/>
    <w:qFormat/>
    <w:pPr>
      <w:spacing w:after="200" w:line="276" w:lineRule="auto"/>
    </w:pPr>
  </w:style>
  <w:style w:type="paragraph" w:styleId="af4">
    <w:name w:val="table of figures"/>
    <w:basedOn w:val="a"/>
    <w:uiPriority w:val="99"/>
    <w:unhideWhenUsed/>
    <w:pPr>
      <w:spacing w:after="0"/>
    </w:pPr>
  </w:style>
  <w:style w:type="paragraph" w:styleId="af5">
    <w:name w:val="No Spacing"/>
    <w:basedOn w:val="a"/>
    <w:uiPriority w:val="1"/>
    <w:qFormat/>
    <w:pPr>
      <w:spacing w:after="0" w:line="240" w:lineRule="auto"/>
    </w:pPr>
  </w:style>
  <w:style w:type="paragraph" w:styleId="af6">
    <w:name w:val="List Paragraph"/>
    <w:basedOn w:val="a"/>
    <w:uiPriority w:val="34"/>
    <w:qFormat/>
    <w:pPr>
      <w:ind w:left="720"/>
      <w:contextualSpacing/>
    </w:pPr>
  </w:style>
  <w:style w:type="numbering" w:customStyle="1" w:styleId="a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752</Words>
  <Characters>4289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 Lee</cp:lastModifiedBy>
  <cp:revision>13</cp:revision>
  <dcterms:created xsi:type="dcterms:W3CDTF">2025-05-13T08:18:00Z</dcterms:created>
  <dcterms:modified xsi:type="dcterms:W3CDTF">2025-05-13T11:35:00Z</dcterms:modified>
  <dc:language>ru-RU</dc:language>
</cp:coreProperties>
</file>